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20" w:lineRule="exact"/>
        <w:ind w:firstLine="0" w:firstLineChars="0"/>
        <w:jc w:val="center"/>
        <w:rPr>
          <w:rFonts w:hint="eastAsia" w:ascii="方正小标宋_GBK" w:hAnsi="方正小标宋_GBK" w:eastAsia="方正小标宋_GBK" w:cs="方正小标宋_GBK"/>
          <w:b/>
          <w:bCs/>
          <w:sz w:val="36"/>
          <w:szCs w:val="36"/>
          <w:lang w:eastAsia="zh-CN"/>
        </w:rPr>
      </w:pPr>
      <w:r>
        <w:rPr>
          <w:rFonts w:hint="eastAsia" w:ascii="方正小标宋_GBK" w:hAnsi="方正小标宋_GBK" w:eastAsia="方正小标宋_GBK" w:cs="方正小标宋_GBK"/>
          <w:b/>
          <w:bCs/>
          <w:sz w:val="36"/>
          <w:szCs w:val="36"/>
          <w:lang w:eastAsia="zh-CN"/>
        </w:rPr>
        <w:t>202</w:t>
      </w:r>
      <w:r>
        <w:rPr>
          <w:rFonts w:hint="eastAsia" w:ascii="方正小标宋_GBK" w:hAnsi="方正小标宋_GBK" w:eastAsia="方正小标宋_GBK" w:cs="方正小标宋_GBK"/>
          <w:b/>
          <w:bCs/>
          <w:sz w:val="36"/>
          <w:szCs w:val="36"/>
          <w:lang w:val="en-US" w:eastAsia="zh-CN"/>
        </w:rPr>
        <w:t>3</w:t>
      </w:r>
      <w:r>
        <w:rPr>
          <w:rFonts w:hint="eastAsia" w:ascii="方正小标宋_GBK" w:hAnsi="方正小标宋_GBK" w:eastAsia="方正小标宋_GBK" w:cs="方正小标宋_GBK"/>
          <w:b/>
          <w:bCs/>
          <w:sz w:val="36"/>
          <w:szCs w:val="36"/>
          <w:lang w:eastAsia="zh-CN"/>
        </w:rPr>
        <w:t>年</w:t>
      </w:r>
      <w:r>
        <w:rPr>
          <w:rFonts w:hint="eastAsia" w:ascii="方正小标宋_GBK" w:hAnsi="方正小标宋_GBK" w:eastAsia="方正小标宋_GBK" w:cs="方正小标宋_GBK"/>
          <w:b/>
          <w:bCs/>
          <w:sz w:val="36"/>
          <w:szCs w:val="36"/>
          <w:lang w:val="en-US" w:eastAsia="zh-CN"/>
        </w:rPr>
        <w:t>学术科研工作年度报告</w:t>
      </w:r>
    </w:p>
    <w:p>
      <w:pPr>
        <w:spacing w:line="360" w:lineRule="auto"/>
        <w:ind w:firstLine="640" w:firstLineChars="200"/>
        <w:rPr>
          <w:rFonts w:hint="eastAsia" w:ascii="仿宋_GB2312" w:hAnsi="仿宋" w:eastAsia="仿宋_GB2312" w:cstheme="minorBidi"/>
          <w:sz w:val="32"/>
          <w:szCs w:val="32"/>
          <w:lang w:val="en-US" w:eastAsia="zh-CN"/>
        </w:rPr>
      </w:pPr>
    </w:p>
    <w:p>
      <w:pPr>
        <w:spacing w:line="360" w:lineRule="auto"/>
        <w:ind w:firstLine="560" w:firstLineChars="200"/>
        <w:rPr>
          <w:rFonts w:hint="eastAsia" w:ascii="仿宋_GB2312" w:hAnsi="仿宋" w:eastAsia="仿宋_GB2312" w:cstheme="minorBidi"/>
          <w:sz w:val="28"/>
          <w:szCs w:val="28"/>
          <w:lang w:val="en-US" w:eastAsia="zh-CN"/>
        </w:rPr>
      </w:pPr>
      <w:r>
        <w:rPr>
          <w:rFonts w:hint="eastAsia" w:ascii="仿宋_GB2312" w:hAnsi="仿宋" w:eastAsia="仿宋_GB2312" w:cstheme="minorBidi"/>
          <w:sz w:val="28"/>
          <w:szCs w:val="28"/>
          <w:lang w:val="en-US" w:eastAsia="zh-CN"/>
        </w:rPr>
        <w:t>本年度，科研处在学校的统一领导下，认真深入学习贯彻习近平新时代中国特色社会主义思想和党的二十大精神，拥护党中央的正确领导和各项方针政策，认真落实学校及部门工作计划，始终坚持“科研兴教，科研强师”的理念，把扎实科研工作作为强化学校管理、提高教师科研素质、促进提高教学质量的重要突破口，并努力为学校双高计划申报提供科研业绩支撑。在校董事会的指导和校党政班子的领导下，学校科研工作取得了良好成绩，在科研制度建设、课题立项数量、成果的层次上都有一定提高，现将工作总结如下。</w:t>
      </w:r>
    </w:p>
    <w:p>
      <w:pPr>
        <w:numPr>
          <w:ilvl w:val="0"/>
          <w:numId w:val="1"/>
        </w:numPr>
        <w:spacing w:line="360" w:lineRule="auto"/>
        <w:ind w:firstLine="562" w:firstLineChars="200"/>
        <w:rPr>
          <w:rFonts w:hint="eastAsia" w:ascii="方正小标宋简体" w:hAnsi="方正小标宋简体" w:eastAsia="方正小标宋简体" w:cs="方正小标宋简体"/>
          <w:b/>
          <w:bCs/>
          <w:sz w:val="28"/>
          <w:szCs w:val="28"/>
          <w:lang w:val="en-US" w:eastAsia="zh-CN"/>
        </w:rPr>
      </w:pPr>
      <w:r>
        <w:rPr>
          <w:rFonts w:hint="eastAsia" w:ascii="仿宋" w:hAnsi="仿宋" w:eastAsia="仿宋" w:cs="仿宋"/>
          <w:b/>
          <w:bCs/>
          <w:sz w:val="28"/>
          <w:szCs w:val="28"/>
          <w:lang w:val="en-US" w:eastAsia="zh-CN"/>
        </w:rPr>
        <w:t>主要工作情况</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（一）科研规划和制度建设</w:t>
      </w:r>
    </w:p>
    <w:p>
      <w:pPr>
        <w:pStyle w:val="12"/>
        <w:spacing w:line="360" w:lineRule="auto"/>
        <w:ind w:firstLine="56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本年度按照科研处工作内容、岗位工作职责、标准和流程，遵循科研主管和联系人制度，结合学校科研管理制度，保证科研处日常工作与科研安排顺利进行。</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（二）学术交流 </w:t>
      </w:r>
    </w:p>
    <w:p>
      <w:pPr>
        <w:spacing w:line="360" w:lineRule="auto"/>
        <w:ind w:firstLine="560" w:firstLineChars="20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本年度举办学术交流20次，邀请校外各行各业专家，为厦门南洋学院今后科研的发展、改革提供了丰富的理论启示和实践指导。6月19日下午，在学校教师发展中心隆重举行了省职教社民专委“教学科研沙龙”活动。会议邀请了泉州轻工职业学院副校长喻亮、泉轻工教育学院院长王芳芳、许智坚副校长、各二级学院分管教学、科研负责人。陈奔教授作了题为《徜徉于教学与科研的海洋》的主旨发言。陈奔教授的精彩发言为厦门南洋学院今后科研的发展、改革提供了丰富的理论启示和实践指导。</w:t>
      </w:r>
    </w:p>
    <w:p>
      <w:pPr>
        <w:spacing w:line="360" w:lineRule="auto"/>
        <w:ind w:firstLine="560" w:firstLineChars="20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2023年共举办20场南洋学术大讲堂，具体情况如下：</w:t>
      </w:r>
    </w:p>
    <w:tbl>
      <w:tblPr>
        <w:tblStyle w:val="9"/>
        <w:tblW w:w="48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1"/>
        <w:gridCol w:w="950"/>
        <w:gridCol w:w="1882"/>
        <w:gridCol w:w="1423"/>
        <w:gridCol w:w="868"/>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rPr>
            </w:pPr>
            <w:r>
              <w:rPr>
                <w:rFonts w:hint="eastAsia" w:ascii="仿宋" w:hAnsi="仿宋" w:eastAsia="仿宋"/>
                <w:b/>
                <w:bCs/>
                <w:sz w:val="24"/>
                <w:lang w:val="en-US" w:eastAsia="zh-CN"/>
              </w:rPr>
              <w:t>序号</w:t>
            </w:r>
          </w:p>
        </w:tc>
        <w:tc>
          <w:tcPr>
            <w:tcW w:w="579" w:type="pct"/>
            <w:shd w:val="clear" w:color="auto" w:fill="auto"/>
            <w:vAlign w:val="center"/>
          </w:tcPr>
          <w:p>
            <w:pPr>
              <w:jc w:val="center"/>
              <w:rPr>
                <w:rFonts w:hint="eastAsia" w:ascii="仿宋" w:hAnsi="仿宋" w:eastAsia="仿宋"/>
                <w:b/>
                <w:bCs/>
                <w:sz w:val="24"/>
              </w:rPr>
            </w:pPr>
            <w:r>
              <w:rPr>
                <w:rFonts w:hint="eastAsia" w:ascii="仿宋" w:hAnsi="仿宋" w:eastAsia="仿宋"/>
                <w:b/>
                <w:bCs/>
                <w:sz w:val="24"/>
                <w:lang w:val="en-US" w:eastAsia="zh-CN"/>
              </w:rPr>
              <w:t>主讲人</w:t>
            </w:r>
          </w:p>
        </w:tc>
        <w:tc>
          <w:tcPr>
            <w:tcW w:w="1148" w:type="pct"/>
            <w:shd w:val="clear" w:color="auto" w:fill="auto"/>
            <w:vAlign w:val="center"/>
          </w:tcPr>
          <w:p>
            <w:pPr>
              <w:jc w:val="center"/>
              <w:rPr>
                <w:rFonts w:hint="eastAsia" w:ascii="仿宋" w:hAnsi="仿宋" w:eastAsia="仿宋"/>
                <w:b/>
                <w:bCs/>
                <w:sz w:val="24"/>
              </w:rPr>
            </w:pPr>
            <w:r>
              <w:rPr>
                <w:rFonts w:hint="eastAsia" w:ascii="仿宋" w:hAnsi="仿宋" w:eastAsia="仿宋"/>
                <w:b/>
                <w:bCs/>
                <w:sz w:val="24"/>
                <w:lang w:val="en-US" w:eastAsia="zh-CN"/>
              </w:rPr>
              <w:t>主讲人身份</w:t>
            </w:r>
          </w:p>
        </w:tc>
        <w:tc>
          <w:tcPr>
            <w:tcW w:w="868" w:type="pct"/>
            <w:shd w:val="clear" w:color="auto" w:fill="auto"/>
            <w:vAlign w:val="center"/>
          </w:tcPr>
          <w:p>
            <w:pPr>
              <w:jc w:val="center"/>
              <w:rPr>
                <w:rFonts w:hint="eastAsia" w:ascii="仿宋" w:hAnsi="仿宋" w:eastAsia="仿宋"/>
                <w:b/>
                <w:bCs/>
                <w:sz w:val="24"/>
              </w:rPr>
            </w:pPr>
            <w:r>
              <w:rPr>
                <w:rFonts w:hint="eastAsia" w:ascii="仿宋" w:hAnsi="仿宋" w:eastAsia="仿宋"/>
                <w:b/>
                <w:bCs/>
                <w:sz w:val="24"/>
                <w:lang w:val="en-US" w:eastAsia="zh-CN"/>
              </w:rPr>
              <w:t>时间</w:t>
            </w:r>
          </w:p>
        </w:tc>
        <w:tc>
          <w:tcPr>
            <w:tcW w:w="529" w:type="pct"/>
            <w:shd w:val="clear" w:color="auto" w:fill="auto"/>
            <w:vAlign w:val="center"/>
          </w:tcPr>
          <w:p>
            <w:pPr>
              <w:jc w:val="center"/>
              <w:rPr>
                <w:rFonts w:hint="eastAsia" w:ascii="仿宋" w:hAnsi="仿宋" w:eastAsia="仿宋"/>
                <w:b/>
                <w:bCs/>
                <w:sz w:val="24"/>
              </w:rPr>
            </w:pPr>
            <w:r>
              <w:rPr>
                <w:rFonts w:hint="eastAsia" w:ascii="仿宋" w:hAnsi="仿宋" w:eastAsia="仿宋"/>
                <w:b/>
                <w:bCs/>
                <w:sz w:val="24"/>
                <w:lang w:val="en-US" w:eastAsia="zh-CN"/>
              </w:rPr>
              <w:t>地点</w:t>
            </w:r>
          </w:p>
        </w:tc>
        <w:tc>
          <w:tcPr>
            <w:tcW w:w="1560" w:type="pct"/>
            <w:shd w:val="clear" w:color="auto" w:fill="auto"/>
            <w:vAlign w:val="center"/>
          </w:tcPr>
          <w:p>
            <w:pPr>
              <w:jc w:val="center"/>
              <w:rPr>
                <w:rFonts w:hint="eastAsia" w:ascii="仿宋" w:hAnsi="仿宋" w:eastAsia="仿宋"/>
                <w:b/>
                <w:bCs/>
                <w:sz w:val="24"/>
              </w:rPr>
            </w:pPr>
            <w:r>
              <w:rPr>
                <w:rFonts w:hint="eastAsia" w:ascii="仿宋" w:hAnsi="仿宋" w:eastAsia="仿宋"/>
                <w:b/>
                <w:bCs/>
                <w:sz w:val="24"/>
                <w:lang w:val="en-US" w:eastAsia="zh-CN"/>
              </w:rPr>
              <w:t>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1</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许有安</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北京世承安泰中医药研究院院长</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2023.3.28</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《自己生命的密码》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戴淑庚</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厦门大学经济学院金融系博士生导师、金融系国际金融教研室主任</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2023.3.29</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《学习两会精神与当前国内外经济金融形势分析》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3</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王亚玲</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陆军特色医学中心护理部主任</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2023.4.7</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《浅谈人文护理在临床中的应用技巧》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4</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张昊志</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华厦眼科医院集团副总裁</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2023.4.19</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实训楼J315</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《眼科行业的发展趋势及华厦眼科医院集团的规范化技术培训体系》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5</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魏春龙</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航空机电学院教授、特种机器人学院院长</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2023.5.10</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活动中心小礼堂</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《从学生到教师——寻找教学融合科研的途径》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6</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郭建居</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新店中学教师</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2023.5.11</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活动中心小礼堂</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《认识非遗文化 传承非遗文化--答嘴鼓、南音、宋江阵》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7</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上官明佳</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厦门大学副教授</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 xml:space="preserve">2023.5.24 </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A301</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《单光子激光雷达技术及其应用》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8</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毛少云</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前厦门精恒智造有限公司CEO</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 xml:space="preserve">2023.5.31 </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A201</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《没有最高，只有更高：一位珠峰登顶者的人生经历》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9</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程曾金</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福建彬恺律师事务所</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 xml:space="preserve">2023.6.5 </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A201</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《不忘初心：一位律师的心路历程》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10</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柳建伟</w:t>
            </w:r>
          </w:p>
        </w:tc>
        <w:tc>
          <w:tcPr>
            <w:tcW w:w="1148" w:type="pct"/>
            <w:shd w:val="clear" w:color="auto" w:fill="auto"/>
            <w:vAlign w:val="center"/>
          </w:tcPr>
          <w:p>
            <w:pPr>
              <w:jc w:val="both"/>
              <w:rPr>
                <w:rFonts w:hint="eastAsia" w:ascii="仿宋" w:hAnsi="仿宋" w:eastAsia="仿宋"/>
                <w:b/>
                <w:bCs/>
                <w:sz w:val="24"/>
                <w:lang w:val="en-US" w:eastAsia="zh-CN"/>
              </w:rPr>
            </w:pPr>
            <w:r>
              <w:rPr>
                <w:rFonts w:hint="eastAsia" w:ascii="仿宋" w:hAnsi="仿宋" w:eastAsia="仿宋"/>
                <w:sz w:val="24"/>
                <w:lang w:val="en-US" w:eastAsia="zh-CN"/>
              </w:rPr>
              <w:t>中国作家协会主席团成员、中国电影文学学会副会长、国家文化名家、享受国务院特殊津贴专家、八一电影制片厂原厂长</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 xml:space="preserve">2023.6.7 </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《文学与影视融合发展的相关问题》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11</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闫信达</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北京广慧金通教育科技有限公司教学管理部副总经理</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2023.6.14</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《“大赛大舞台，青春展风采”--以赛促学，以赛促教，以赛促就》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311"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12</w:t>
            </w:r>
          </w:p>
        </w:tc>
        <w:tc>
          <w:tcPr>
            <w:tcW w:w="57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张祖钧</w:t>
            </w:r>
          </w:p>
        </w:tc>
        <w:tc>
          <w:tcPr>
            <w:tcW w:w="114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龙岩学院 马克思主义学院 教授</w:t>
            </w:r>
          </w:p>
        </w:tc>
        <w:tc>
          <w:tcPr>
            <w:tcW w:w="868"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2023.6.14</w:t>
            </w:r>
          </w:p>
        </w:tc>
        <w:tc>
          <w:tcPr>
            <w:tcW w:w="529"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b/>
                <w:bCs/>
                <w:sz w:val="24"/>
                <w:lang w:val="en-US" w:eastAsia="zh-CN"/>
              </w:rPr>
            </w:pPr>
            <w:r>
              <w:rPr>
                <w:rFonts w:hint="eastAsia" w:ascii="仿宋" w:hAnsi="仿宋" w:eastAsia="仿宋"/>
                <w:sz w:val="24"/>
                <w:lang w:val="en-US" w:eastAsia="zh-CN"/>
              </w:rPr>
              <w:t>《新时代高校教师的职责与使命》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13</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陈毅真</w:t>
            </w:r>
          </w:p>
        </w:tc>
        <w:tc>
          <w:tcPr>
            <w:tcW w:w="1148" w:type="pct"/>
            <w:shd w:val="clear" w:color="auto" w:fill="auto"/>
            <w:vAlign w:val="center"/>
          </w:tcPr>
          <w:p>
            <w:pPr>
              <w:jc w:val="center"/>
              <w:rPr>
                <w:rFonts w:hint="eastAsia" w:ascii="仿宋" w:hAnsi="仿宋" w:eastAsia="仿宋"/>
                <w:sz w:val="24"/>
                <w:lang w:val="en-US" w:eastAsia="zh-CN"/>
              </w:rPr>
            </w:pPr>
            <w:r>
              <w:rPr>
                <w:rFonts w:hint="default" w:ascii="仿宋" w:hAnsi="仿宋" w:eastAsia="仿宋"/>
                <w:sz w:val="24"/>
                <w:lang w:val="en-US" w:eastAsia="zh-CN"/>
              </w:rPr>
              <w:t>厦航服务总监</w:t>
            </w:r>
          </w:p>
        </w:tc>
        <w:tc>
          <w:tcPr>
            <w:tcW w:w="86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2023.10.8</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《以梦为马，奔赴蓝天之约》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14</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罗先锋</w:t>
            </w:r>
          </w:p>
        </w:tc>
        <w:tc>
          <w:tcPr>
            <w:tcW w:w="114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闽南师范大学教育与心理学教授</w:t>
            </w:r>
          </w:p>
        </w:tc>
        <w:tc>
          <w:tcPr>
            <w:tcW w:w="86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2023.10.11</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A210</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《学前教育研究与视野——兼谈课题申报实践》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15</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罗震天</w:t>
            </w:r>
          </w:p>
        </w:tc>
        <w:tc>
          <w:tcPr>
            <w:tcW w:w="114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福建泰和堂国医馆主任医师</w:t>
            </w:r>
          </w:p>
        </w:tc>
        <w:tc>
          <w:tcPr>
            <w:tcW w:w="86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2023.10.25</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《解密承传千年的中医古籍《伤寒论》中的心法奥秘！》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16</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丘成辉</w:t>
            </w:r>
          </w:p>
        </w:tc>
        <w:tc>
          <w:tcPr>
            <w:tcW w:w="114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厦门凡了文化传播有限公司</w:t>
            </w:r>
          </w:p>
        </w:tc>
        <w:tc>
          <w:tcPr>
            <w:tcW w:w="86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2023.11.3</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A206</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《从写作到发表——探索科研的方法和路径》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17</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孙晓东</w:t>
            </w:r>
          </w:p>
        </w:tc>
        <w:tc>
          <w:tcPr>
            <w:tcW w:w="114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山东莱州保康堂中医馆</w:t>
            </w:r>
          </w:p>
        </w:tc>
        <w:tc>
          <w:tcPr>
            <w:tcW w:w="86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2023.11.21</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w:t>
            </w:r>
            <w:r>
              <w:rPr>
                <w:rFonts w:hint="default" w:ascii="仿宋" w:hAnsi="仿宋" w:eastAsia="仿宋"/>
                <w:sz w:val="24"/>
                <w:lang w:val="en-US" w:eastAsia="zh-CN"/>
              </w:rPr>
              <w:t>不负韶华，砥砺前行，医路向未来</w:t>
            </w:r>
            <w:r>
              <w:rPr>
                <w:rFonts w:hint="eastAsia" w:ascii="仿宋" w:hAnsi="仿宋" w:eastAsia="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2"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18</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林艺滨</w:t>
            </w:r>
          </w:p>
        </w:tc>
        <w:tc>
          <w:tcPr>
            <w:tcW w:w="1148" w:type="pct"/>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厦门欧米克网络科技有限公司总经理</w:t>
            </w:r>
          </w:p>
        </w:tc>
        <w:tc>
          <w:tcPr>
            <w:tcW w:w="86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2023.12.13</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《数字世界的修炼之道》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19</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陈奔</w:t>
            </w:r>
          </w:p>
        </w:tc>
        <w:tc>
          <w:tcPr>
            <w:tcW w:w="1148" w:type="pct"/>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科研处处长、海外学院院长</w:t>
            </w:r>
          </w:p>
        </w:tc>
        <w:tc>
          <w:tcPr>
            <w:tcW w:w="86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2023.12.20</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A201</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《巴以冲突中的美国因素》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2" w:hRule="atLeast"/>
          <w:tblHeader/>
        </w:trPr>
        <w:tc>
          <w:tcPr>
            <w:tcW w:w="311" w:type="pct"/>
            <w:shd w:val="clear" w:color="auto" w:fill="auto"/>
            <w:vAlign w:val="center"/>
          </w:tcPr>
          <w:p>
            <w:pPr>
              <w:jc w:val="center"/>
              <w:rPr>
                <w:rFonts w:hint="default" w:ascii="仿宋" w:hAnsi="仿宋" w:eastAsia="仿宋"/>
                <w:sz w:val="24"/>
                <w:lang w:val="en-US"/>
              </w:rPr>
            </w:pPr>
            <w:r>
              <w:rPr>
                <w:rFonts w:hint="eastAsia" w:ascii="仿宋" w:hAnsi="仿宋" w:eastAsia="仿宋"/>
                <w:sz w:val="24"/>
                <w:lang w:val="en-US" w:eastAsia="zh-CN"/>
              </w:rPr>
              <w:t>20</w:t>
            </w:r>
          </w:p>
        </w:tc>
        <w:tc>
          <w:tcPr>
            <w:tcW w:w="57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单元庄</w:t>
            </w:r>
          </w:p>
        </w:tc>
        <w:tc>
          <w:tcPr>
            <w:tcW w:w="1148"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 xml:space="preserve">全国政策科学研究会副会长、   </w:t>
            </w:r>
          </w:p>
          <w:p>
            <w:pPr>
              <w:jc w:val="center"/>
              <w:rPr>
                <w:rFonts w:hint="eastAsia" w:ascii="仿宋" w:hAnsi="仿宋" w:eastAsia="仿宋"/>
                <w:sz w:val="24"/>
                <w:lang w:val="en-US" w:eastAsia="zh-CN"/>
              </w:rPr>
            </w:pPr>
            <w:r>
              <w:rPr>
                <w:rFonts w:hint="eastAsia" w:ascii="仿宋" w:hAnsi="仿宋" w:eastAsia="仿宋"/>
                <w:sz w:val="24"/>
                <w:lang w:val="en-US" w:eastAsia="zh-CN"/>
              </w:rPr>
              <w:t>新华社《瞭望》国策委员会委员、朝华研究院院长</w:t>
            </w:r>
          </w:p>
        </w:tc>
        <w:tc>
          <w:tcPr>
            <w:tcW w:w="868" w:type="pct"/>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2023.12.30</w:t>
            </w:r>
          </w:p>
        </w:tc>
        <w:tc>
          <w:tcPr>
            <w:tcW w:w="529"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仙岳报告厅</w:t>
            </w:r>
          </w:p>
        </w:tc>
        <w:tc>
          <w:tcPr>
            <w:tcW w:w="1560" w:type="pct"/>
            <w:shd w:val="clear" w:color="auto" w:fill="auto"/>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《中华教育传统与高等教育》</w:t>
            </w:r>
          </w:p>
        </w:tc>
      </w:tr>
    </w:tbl>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（三）科研日常管理 </w:t>
      </w:r>
    </w:p>
    <w:p>
      <w:pPr>
        <w:spacing w:line="360" w:lineRule="auto"/>
        <w:ind w:firstLine="560" w:firstLineChars="200"/>
        <w:rPr>
          <w:rFonts w:hint="default"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先后组织并完成二十余项课题的申报、立项和结题工作。组织统计汇总全校2023年度科研工作量完成情况等。日常进行文件的收发工作，督查立项课题的开题、中期检查、结题等事项，2023年度福建高校人文社科类和科技类科研数据的统计、上报以及科研处档案的整理，积极参加学校组织举办的各种活动。</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bookmarkStart w:id="0" w:name="_Hlk106372129"/>
      <w:r>
        <w:rPr>
          <w:rFonts w:hint="eastAsia" w:ascii="仿宋" w:hAnsi="仿宋" w:eastAsia="仿宋" w:cs="仿宋"/>
          <w:b/>
          <w:bCs/>
          <w:sz w:val="28"/>
          <w:szCs w:val="28"/>
          <w:lang w:val="en-US" w:eastAsia="zh-CN"/>
        </w:rPr>
        <w:t>课题申报、立项和结项</w:t>
      </w:r>
    </w:p>
    <w:bookmarkEnd w:id="0"/>
    <w:p>
      <w:pPr>
        <w:numPr>
          <w:ilvl w:val="0"/>
          <w:numId w:val="0"/>
        </w:numPr>
        <w:spacing w:line="360" w:lineRule="auto"/>
        <w:ind w:firstLine="562" w:firstLineChars="200"/>
        <w:rPr>
          <w:rFonts w:hint="eastAsia" w:ascii="仿宋" w:hAnsi="仿宋" w:eastAsia="仿宋" w:cs="仿宋"/>
          <w:b/>
          <w:bCs/>
          <w:sz w:val="28"/>
          <w:szCs w:val="28"/>
          <w:lang w:val="en-US" w:eastAsia="zh-CN"/>
        </w:rPr>
      </w:pPr>
      <w:bookmarkStart w:id="1" w:name="_Hlk106606174"/>
      <w:r>
        <w:rPr>
          <w:rFonts w:hint="eastAsia" w:ascii="仿宋" w:hAnsi="仿宋" w:eastAsia="仿宋" w:cs="仿宋"/>
          <w:b/>
          <w:bCs/>
          <w:sz w:val="28"/>
          <w:szCs w:val="28"/>
          <w:lang w:val="en-US" w:eastAsia="zh-CN"/>
        </w:rPr>
        <w:t>1.课题申报</w:t>
      </w:r>
      <w:bookmarkEnd w:id="1"/>
    </w:p>
    <w:p>
      <w:pPr>
        <w:spacing w:line="600" w:lineRule="exact"/>
        <w:ind w:firstLine="620"/>
        <w:jc w:val="left"/>
        <w:rPr>
          <w:rFonts w:hint="default"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2023年共申报课题41项，其中中国民办教育协会规划课题5人、厦门市教育科学规划课题3人、中华职业教育社规划委托课题1人、教育部人文社会科学研究一般项目1人、厦门市中华职业教育社调研课题6人、福建省职业教育研究课题2人、全国教育科学规划课题1人、福建省教育科学“十四五”规划课题5人、中华职业教育社重点自主课题1人、福建省教育系统哲学社会科学研究项目2人、中青年教师教育科研项目2人、福建省高等教育改革与研究项目10人、厦门市社会科学大学生思想政治教育研究2人。</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2.课题立项</w:t>
      </w:r>
    </w:p>
    <w:p>
      <w:pPr>
        <w:spacing w:line="360" w:lineRule="auto"/>
        <w:ind w:firstLine="560" w:firstLineChars="200"/>
        <w:rPr>
          <w:rFonts w:hint="eastAsia" w:eastAsia="仿宋"/>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年我校共立项</w:t>
      </w:r>
      <w:r>
        <w:rPr>
          <w:rFonts w:hint="eastAsia" w:ascii="仿宋_GB2312" w:hAnsi="仿宋" w:eastAsia="仿宋_GB2312" w:cstheme="minorBidi"/>
          <w:kern w:val="2"/>
          <w:sz w:val="28"/>
          <w:szCs w:val="28"/>
          <w:lang w:val="en-US" w:eastAsia="zh-CN" w:bidi="ar-SA"/>
        </w:rPr>
        <w:t>市（厅）以上课题17项（其中省（部）级6项），横向课题2项（经费到账7万元），发表论文 30 篇，专利 39 项，软件著作权28项。</w:t>
      </w:r>
    </w:p>
    <w:tbl>
      <w:tblPr>
        <w:tblStyle w:val="9"/>
        <w:tblpPr w:leftFromText="180" w:rightFromText="180" w:vertAnchor="text" w:horzAnchor="page" w:tblpX="1830" w:tblpY="304"/>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792"/>
        <w:gridCol w:w="1083"/>
        <w:gridCol w:w="1683"/>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4" w:type="dxa"/>
            <w:noWrap/>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序号</w:t>
            </w:r>
          </w:p>
        </w:tc>
        <w:tc>
          <w:tcPr>
            <w:tcW w:w="2792" w:type="dxa"/>
            <w:noWrap/>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项目名称</w:t>
            </w:r>
          </w:p>
        </w:tc>
        <w:tc>
          <w:tcPr>
            <w:tcW w:w="1083"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负责人</w:t>
            </w:r>
          </w:p>
        </w:tc>
        <w:tc>
          <w:tcPr>
            <w:tcW w:w="1683"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立项部门</w:t>
            </w:r>
          </w:p>
        </w:tc>
        <w:tc>
          <w:tcPr>
            <w:tcW w:w="2178" w:type="dxa"/>
            <w:vAlign w:val="center"/>
          </w:tcPr>
          <w:p>
            <w:pPr>
              <w:spacing w:line="400" w:lineRule="exact"/>
              <w:jc w:val="center"/>
              <w:rPr>
                <w:rFonts w:ascii="仿宋" w:hAnsi="仿宋" w:eastAsia="仿宋" w:cs="仿宋"/>
                <w:b/>
                <w:bCs/>
                <w:sz w:val="24"/>
              </w:rPr>
            </w:pPr>
            <w:r>
              <w:rPr>
                <w:rFonts w:hint="eastAsia" w:ascii="仿宋" w:hAnsi="仿宋" w:eastAsia="仿宋" w:cs="仿宋"/>
                <w:b/>
                <w:bCs/>
                <w:sz w:val="24"/>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eastAsia" w:ascii="仿宋" w:hAnsi="仿宋" w:eastAsia="仿宋" w:cs="仿宋"/>
                <w:color w:val="333333"/>
                <w:sz w:val="24"/>
                <w:szCs w:val="24"/>
              </w:rPr>
            </w:pPr>
            <w:r>
              <w:rPr>
                <w:rFonts w:hint="eastAsia" w:ascii="仿宋" w:hAnsi="仿宋" w:eastAsia="仿宋" w:cs="仿宋"/>
                <w:color w:val="333333"/>
                <w:sz w:val="24"/>
                <w:szCs w:val="24"/>
              </w:rPr>
              <w:t>1</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厦门高职院校艺术设计学科“创客教育”场域构建研究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毛琛</w:t>
            </w:r>
          </w:p>
        </w:tc>
        <w:tc>
          <w:tcPr>
            <w:tcW w:w="1683" w:type="dxa"/>
            <w:shd w:val="clear" w:color="auto" w:fill="auto"/>
            <w:noWrap/>
            <w:vAlign w:val="center"/>
          </w:tcPr>
          <w:p>
            <w:pPr>
              <w:spacing w:line="240" w:lineRule="auto"/>
              <w:jc w:val="left"/>
              <w:rPr>
                <w:rFonts w:hint="eastAsia" w:ascii="仿宋" w:hAnsi="仿宋" w:eastAsia="仿宋" w:cs="仿宋"/>
                <w:color w:val="333333"/>
                <w:sz w:val="24"/>
                <w:szCs w:val="24"/>
              </w:rPr>
            </w:pPr>
            <w:r>
              <w:rPr>
                <w:rFonts w:hint="eastAsia" w:ascii="仿宋" w:hAnsi="仿宋" w:eastAsia="仿宋" w:cs="仿宋"/>
                <w:color w:val="333333"/>
                <w:sz w:val="24"/>
                <w:szCs w:val="24"/>
              </w:rPr>
              <w:t>厦门市中华职业教育社</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加强高职院校党外干部队伍建设的对策研究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王志强</w:t>
            </w:r>
          </w:p>
        </w:tc>
        <w:tc>
          <w:tcPr>
            <w:tcW w:w="1683"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中共厦门市委统战部</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3</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新的社会阶层人士助力共同富裕路径研究——以翔安区乡村振兴工作为例</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林莉</w:t>
            </w:r>
          </w:p>
        </w:tc>
        <w:tc>
          <w:tcPr>
            <w:tcW w:w="1683"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中共厦门市委统战部</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4</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“1+X”证书制度视域下高职婴幼儿托育服务与管理专业人才培养模式研究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刘阳</w:t>
            </w:r>
          </w:p>
        </w:tc>
        <w:tc>
          <w:tcPr>
            <w:tcW w:w="1683"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福建省职业技术教育中心</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5</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基于OBE理念的高职学前教育专业毕业设计多样化改革与实践研究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陈李笑</w:t>
            </w:r>
          </w:p>
        </w:tc>
        <w:tc>
          <w:tcPr>
            <w:tcW w:w="1683"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福建省职业技术教育中心</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6</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新阶人士实践创新基地在民办职业院校创新创业教育中的应用研究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林莉</w:t>
            </w:r>
          </w:p>
        </w:tc>
        <w:tc>
          <w:tcPr>
            <w:tcW w:w="1683"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中国民办教育协会</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2023年7月22日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7</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民间游戏融入幼儿园课程价值研究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丘丽红</w:t>
            </w:r>
          </w:p>
        </w:tc>
        <w:tc>
          <w:tcPr>
            <w:tcW w:w="1683"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中国民办教育协会</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2023年7月22日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8</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“大思政课”视阈下提升高职学生自信自强素养的实践路径研究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刘娟</w:t>
            </w:r>
          </w:p>
        </w:tc>
        <w:tc>
          <w:tcPr>
            <w:tcW w:w="1683"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中国民办教育协会</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2023年7月22日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9</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跨界与协同：基于场域理论的高职艺术设计类集群工作室制教学模式研究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毛琛</w:t>
            </w:r>
          </w:p>
        </w:tc>
        <w:tc>
          <w:tcPr>
            <w:tcW w:w="1683"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福建省教育科学规划领导小组办公室</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2023年9月4日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10</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校企合作机制下的高职旅游专业教师发展研究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许爱云</w:t>
            </w:r>
          </w:p>
        </w:tc>
        <w:tc>
          <w:tcPr>
            <w:tcW w:w="1683"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福建省教育科学规划领导小组办公室</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2023年9月24日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11</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 xml:space="preserve">基于“1+X”证书的高职学前教育专业人才培养模式研究    </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丘丽红</w:t>
            </w:r>
          </w:p>
        </w:tc>
        <w:tc>
          <w:tcPr>
            <w:tcW w:w="1683"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福建省教育科学规划领导小组办公室</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2023年9月24日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12</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元宇宙视角下的量子技术教育探索</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孙立炜</w:t>
            </w:r>
          </w:p>
        </w:tc>
        <w:tc>
          <w:tcPr>
            <w:tcW w:w="1683"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厦门市教育科学规划领导小组办公室</w:t>
            </w:r>
          </w:p>
        </w:tc>
        <w:tc>
          <w:tcPr>
            <w:tcW w:w="21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 w:hAnsi="仿宋" w:eastAsia="仿宋" w:cs="仿宋"/>
                <w:color w:val="333333"/>
                <w:sz w:val="24"/>
                <w:szCs w:val="24"/>
                <w:lang w:val="en-US" w:eastAsia="zh-CN"/>
              </w:rPr>
              <w:t>2023年11月22日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13</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多参数智能手环监护系统的设计与研究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吴亮亮</w:t>
            </w:r>
          </w:p>
        </w:tc>
        <w:tc>
          <w:tcPr>
            <w:tcW w:w="16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福建省教育厅</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14</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《家庭教育促进法》背景下青少年阅读能力提升路径研究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林静宜</w:t>
            </w:r>
          </w:p>
        </w:tc>
        <w:tc>
          <w:tcPr>
            <w:tcW w:w="16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福建省教育厅</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2023年12月18日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15</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乡村振兴背景下新媒体助力生态产品价值实现研究</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苏亚东</w:t>
            </w:r>
          </w:p>
        </w:tc>
        <w:tc>
          <w:tcPr>
            <w:tcW w:w="16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福建省教育厅</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2023年12月18日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16</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监理规划编制服务</w:t>
            </w:r>
          </w:p>
        </w:tc>
        <w:tc>
          <w:tcPr>
            <w:tcW w:w="1083" w:type="dxa"/>
            <w:shd w:val="clear" w:color="auto" w:fill="auto"/>
            <w:noWrap/>
            <w:vAlign w:val="center"/>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苏顺平</w:t>
            </w:r>
          </w:p>
        </w:tc>
        <w:tc>
          <w:tcPr>
            <w:tcW w:w="1683" w:type="dxa"/>
            <w:shd w:val="clear" w:color="auto" w:fill="auto"/>
            <w:noWrap/>
            <w:vAlign w:val="bottom"/>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横向课题</w:t>
            </w:r>
          </w:p>
        </w:tc>
        <w:tc>
          <w:tcPr>
            <w:tcW w:w="2178" w:type="dxa"/>
            <w:shd w:val="clear" w:color="auto" w:fill="auto"/>
            <w:noWrap/>
            <w:vAlign w:val="bottom"/>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17</w:t>
            </w:r>
          </w:p>
        </w:tc>
        <w:tc>
          <w:tcPr>
            <w:tcW w:w="2792"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数字乡村振兴平台解决方案</w:t>
            </w:r>
          </w:p>
        </w:tc>
        <w:tc>
          <w:tcPr>
            <w:tcW w:w="1083" w:type="dxa"/>
            <w:shd w:val="clear" w:color="auto" w:fill="auto"/>
            <w:noWrap/>
            <w:vAlign w:val="center"/>
          </w:tcPr>
          <w:p>
            <w:pPr>
              <w:spacing w:line="240" w:lineRule="auto"/>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黄芸</w:t>
            </w:r>
          </w:p>
        </w:tc>
        <w:tc>
          <w:tcPr>
            <w:tcW w:w="1683" w:type="dxa"/>
            <w:shd w:val="clear" w:color="auto" w:fill="auto"/>
            <w:noWrap/>
            <w:vAlign w:val="bottom"/>
          </w:tcPr>
          <w:p>
            <w:pPr>
              <w:spacing w:line="240" w:lineRule="auto"/>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横向课题</w:t>
            </w:r>
          </w:p>
        </w:tc>
        <w:tc>
          <w:tcPr>
            <w:tcW w:w="2178" w:type="dxa"/>
            <w:shd w:val="clear" w:color="auto" w:fill="auto"/>
            <w:noWrap/>
            <w:vAlign w:val="center"/>
          </w:tcPr>
          <w:p>
            <w:pPr>
              <w:spacing w:line="240" w:lineRule="auto"/>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2023年10月8日</w:t>
            </w:r>
          </w:p>
        </w:tc>
      </w:tr>
    </w:tbl>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3.课题结项</w:t>
      </w:r>
    </w:p>
    <w:p>
      <w:pPr>
        <w:spacing w:line="600" w:lineRule="exact"/>
        <w:ind w:firstLine="560" w:firstLineChars="200"/>
        <w:jc w:val="left"/>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2023年我校共申请课题结项3项，具体项目如下：</w:t>
      </w:r>
    </w:p>
    <w:tbl>
      <w:tblPr>
        <w:tblStyle w:val="9"/>
        <w:tblW w:w="8346" w:type="dxa"/>
        <w:tblInd w:w="93" w:type="dxa"/>
        <w:tblLayout w:type="fixed"/>
        <w:tblCellMar>
          <w:top w:w="0" w:type="dxa"/>
          <w:left w:w="108" w:type="dxa"/>
          <w:bottom w:w="0" w:type="dxa"/>
          <w:right w:w="108" w:type="dxa"/>
        </w:tblCellMar>
      </w:tblPr>
      <w:tblGrid>
        <w:gridCol w:w="839"/>
        <w:gridCol w:w="1422"/>
        <w:gridCol w:w="3490"/>
        <w:gridCol w:w="1425"/>
        <w:gridCol w:w="1170"/>
      </w:tblGrid>
      <w:tr>
        <w:tblPrEx>
          <w:tblCellMar>
            <w:top w:w="0" w:type="dxa"/>
            <w:left w:w="108" w:type="dxa"/>
            <w:bottom w:w="0" w:type="dxa"/>
            <w:right w:w="108" w:type="dxa"/>
          </w:tblCellMar>
        </w:tblPrEx>
        <w:trPr>
          <w:trHeight w:val="66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 xml:space="preserve"> </w:t>
            </w:r>
            <w:r>
              <w:rPr>
                <w:rFonts w:hint="eastAsia" w:ascii="仿宋" w:hAnsi="仿宋" w:eastAsia="仿宋" w:cs="仿宋"/>
                <w:b/>
                <w:bCs/>
                <w:color w:val="000000"/>
                <w:kern w:val="0"/>
                <w:sz w:val="24"/>
                <w:lang w:bidi="ar"/>
              </w:rPr>
              <w:t>序号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项目编号</w:t>
            </w:r>
          </w:p>
        </w:tc>
        <w:tc>
          <w:tcPr>
            <w:tcW w:w="3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项目负责人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tblPrEx>
          <w:tblCellMar>
            <w:top w:w="0" w:type="dxa"/>
            <w:left w:w="108" w:type="dxa"/>
            <w:bottom w:w="0" w:type="dxa"/>
            <w:right w:w="108" w:type="dxa"/>
          </w:tblCellMar>
        </w:tblPrEx>
        <w:trPr>
          <w:trHeight w:val="4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lang w:val="en-US" w:eastAsia="zh-CN"/>
              </w:rPr>
              <w:t>JAS21708</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lang w:val="en-US" w:eastAsia="zh-CN"/>
              </w:rPr>
              <w:t>新时代加强高校学生社团建设管理对策研究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rPr>
            </w:pPr>
            <w:r>
              <w:rPr>
                <w:rFonts w:hint="eastAsia" w:ascii="仿宋" w:hAnsi="仿宋" w:eastAsia="仿宋" w:cs="Times New Roman"/>
                <w:sz w:val="24"/>
                <w:lang w:val="en-US" w:eastAsia="zh-CN"/>
              </w:rPr>
              <w:t>李娟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已结题</w:t>
            </w:r>
          </w:p>
        </w:tc>
      </w:tr>
      <w:tr>
        <w:tblPrEx>
          <w:tblCellMar>
            <w:top w:w="0" w:type="dxa"/>
            <w:left w:w="108" w:type="dxa"/>
            <w:bottom w:w="0" w:type="dxa"/>
            <w:right w:w="108" w:type="dxa"/>
          </w:tblCellMar>
        </w:tblPrEx>
        <w:trPr>
          <w:trHeight w:val="4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2</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JZ190053</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高职基础英语词汇教学策略的行动研究-以厦门南洋职业学院为例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赵欢</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仿宋"/>
                <w:sz w:val="24"/>
                <w:lang w:val="en-US" w:eastAsia="zh-CN"/>
              </w:rPr>
              <w:t>已结题</w:t>
            </w:r>
          </w:p>
        </w:tc>
      </w:tr>
      <w:tr>
        <w:tblPrEx>
          <w:tblCellMar>
            <w:top w:w="0" w:type="dxa"/>
            <w:left w:w="108" w:type="dxa"/>
            <w:bottom w:w="0" w:type="dxa"/>
            <w:right w:w="108" w:type="dxa"/>
          </w:tblCellMar>
        </w:tblPrEx>
        <w:trPr>
          <w:trHeight w:val="4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Times New Roman"/>
                <w:sz w:val="24"/>
                <w:lang w:val="en-US" w:eastAsia="zh-CN"/>
              </w:rPr>
            </w:pPr>
            <w:r>
              <w:rPr>
                <w:rFonts w:hint="eastAsia" w:ascii="仿宋" w:hAnsi="仿宋" w:eastAsia="仿宋" w:cs="Times New Roman"/>
                <w:sz w:val="24"/>
                <w:lang w:val="en-US" w:eastAsia="zh-CN"/>
              </w:rPr>
              <w:t>3</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JAT191593</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普通车床数控化改造关键技术的研究与实践</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Times New Roman"/>
                <w:sz w:val="24"/>
                <w:lang w:val="en-US" w:eastAsia="zh-CN"/>
              </w:rPr>
              <w:t>洪伟杰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Times New Roman"/>
                <w:sz w:val="24"/>
                <w:lang w:val="en-US" w:eastAsia="zh-CN"/>
              </w:rPr>
            </w:pPr>
            <w:r>
              <w:rPr>
                <w:rFonts w:hint="eastAsia" w:ascii="仿宋" w:hAnsi="仿宋" w:eastAsia="仿宋" w:cs="仿宋"/>
                <w:sz w:val="24"/>
                <w:lang w:val="en-US" w:eastAsia="zh-CN"/>
              </w:rPr>
              <w:t>已结题</w:t>
            </w:r>
          </w:p>
        </w:tc>
      </w:tr>
    </w:tbl>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（五）省级工程中心验收</w:t>
      </w:r>
    </w:p>
    <w:p>
      <w:pPr>
        <w:spacing w:line="600" w:lineRule="exact"/>
        <w:ind w:firstLine="560" w:firstLineChars="200"/>
        <w:jc w:val="left"/>
        <w:rPr>
          <w:rFonts w:hint="default"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10月27日，福建省教育厅组织专家组对我校承担的“物联网+智能制造福建省高校应用技术工程中心”建设项目进行验收。验收会上，专家组听取工程中心建设汇报，现场实地考察并结合实验室视频介绍，仔细审阅了《验收总结报告》和相关佐证材料，并就相关问题与汇报人及工程中心核心成员进行质询答辩。最后，五位专家出具建议通过意见书。</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（六）学报工作</w:t>
      </w:r>
    </w:p>
    <w:p>
      <w:pPr>
        <w:spacing w:line="600" w:lineRule="exact"/>
        <w:ind w:firstLine="560" w:firstLineChars="200"/>
        <w:jc w:val="left"/>
        <w:rPr>
          <w:rFonts w:hint="default" w:ascii="方正小标宋简体" w:hAnsi="方正小标宋简体" w:eastAsia="方正小标宋简体" w:cs="方正小标宋简体"/>
          <w:b/>
          <w:bCs/>
          <w:sz w:val="28"/>
          <w:szCs w:val="28"/>
          <w:lang w:val="en-US"/>
        </w:rPr>
      </w:pPr>
      <w:r>
        <w:rPr>
          <w:rFonts w:hint="eastAsia" w:ascii="仿宋_GB2312" w:hAnsi="仿宋" w:eastAsia="仿宋_GB2312" w:cstheme="minorBidi"/>
          <w:kern w:val="2"/>
          <w:sz w:val="28"/>
          <w:szCs w:val="28"/>
          <w:lang w:val="en-US" w:eastAsia="zh-CN" w:bidi="ar-SA"/>
        </w:rPr>
        <w:t>组织2023年第一、二期厦门南洋职业学院学报的征稿和编辑工作，两期共收集稿件53篇，根据市教育局的文件要求，编辑部严格进行“三审三校”，严把质量关。两期学报涉及思政教学、财经研究、应用技术、实践教学、学前教育研究、体育教育研究、音乐教育和教学改革研究等8个版面。</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（七）临时性工作</w:t>
      </w:r>
    </w:p>
    <w:p>
      <w:pPr>
        <w:spacing w:line="600" w:lineRule="exact"/>
        <w:ind w:firstLine="560" w:firstLineChars="200"/>
        <w:jc w:val="left"/>
        <w:rPr>
          <w:rFonts w:hint="default" w:ascii="仿宋_GB2312" w:hAnsi="仿宋" w:eastAsia="仿宋_GB2312" w:cstheme="minorBidi"/>
          <w:kern w:val="2"/>
          <w:sz w:val="28"/>
          <w:szCs w:val="28"/>
          <w:lang w:val="en-US" w:eastAsia="zh-CN" w:bidi="ar-SA"/>
        </w:rPr>
      </w:pPr>
      <w:bookmarkStart w:id="2" w:name="_Hlk106606897"/>
      <w:r>
        <w:rPr>
          <w:rFonts w:hint="eastAsia" w:ascii="仿宋_GB2312" w:hAnsi="仿宋" w:eastAsia="仿宋_GB2312" w:cstheme="minorBidi"/>
          <w:kern w:val="2"/>
          <w:sz w:val="28"/>
          <w:szCs w:val="28"/>
          <w:lang w:val="en-US" w:eastAsia="zh-CN" w:bidi="ar-SA"/>
        </w:rPr>
        <w:t>完成校领导交代的临时性工作，协助党政办人事科审核职称参评人员科研项目立项和结题情况，高级职称外审论文查重等工作。南洋大讲堂讲座新闻初稿的撰写工作。组织“南洋大讲堂”选聘报告人和征集2023-2024学年度讲座选题工作，选聘报告人21人，征集选题24个。</w:t>
      </w:r>
    </w:p>
    <w:bookmarkEnd w:id="2"/>
    <w:p>
      <w:pPr>
        <w:spacing w:line="360" w:lineRule="auto"/>
        <w:ind w:firstLine="562" w:firstLineChars="200"/>
        <w:rPr>
          <w:rFonts w:hint="eastAsia" w:ascii="方正小标宋简体" w:hAnsi="方正小标宋简体" w:eastAsia="方正小标宋简体" w:cs="方正小标宋简体"/>
          <w:b/>
          <w:bCs/>
          <w:sz w:val="28"/>
          <w:szCs w:val="28"/>
          <w:lang w:eastAsia="zh-CN"/>
        </w:rPr>
      </w:pPr>
      <w:r>
        <w:rPr>
          <w:rFonts w:hint="eastAsia" w:ascii="仿宋" w:hAnsi="仿宋" w:eastAsia="仿宋" w:cs="仿宋"/>
          <w:b/>
          <w:bCs/>
          <w:sz w:val="28"/>
          <w:szCs w:val="28"/>
          <w:lang w:val="en-US" w:eastAsia="zh-CN"/>
        </w:rPr>
        <w:t>（八）完善科研制度</w:t>
      </w:r>
    </w:p>
    <w:p>
      <w:pPr>
        <w:spacing w:line="600" w:lineRule="exact"/>
        <w:ind w:firstLine="560" w:firstLineChars="200"/>
        <w:jc w:val="left"/>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28"/>
          <w:szCs w:val="28"/>
          <w:lang w:val="en-US" w:eastAsia="zh-CN" w:bidi="ar-SA"/>
        </w:rPr>
        <w:t>为进一步提高学校教师的科研水平，调动广大教职员工从事科研工作的积极性、主动性和创造性，全面推动科研兴校战略目标的实现，结合学校实际，监督实施《科研资助与奖励管理办法》、《科研团队建设与管理办法》。从组织管理、运行保障等方面引导和规范科研工作。</w:t>
      </w:r>
      <w:r>
        <w:rPr>
          <w:rFonts w:hint="eastAsia" w:ascii="仿宋_GB2312" w:hAnsi="仿宋" w:eastAsia="仿宋_GB2312" w:cstheme="minorBidi"/>
          <w:kern w:val="2"/>
          <w:sz w:val="32"/>
          <w:szCs w:val="32"/>
          <w:lang w:val="en-US" w:eastAsia="zh-CN" w:bidi="ar-SA"/>
        </w:rPr>
        <w:t xml:space="preserve"> </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二、面临的问题和挑战</w:t>
      </w:r>
    </w:p>
    <w:p>
      <w:pPr>
        <w:spacing w:line="360" w:lineRule="auto"/>
        <w:ind w:firstLine="560" w:firstLineChars="20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 xml:space="preserve">本年度虽然我校科研工作取得了一些成绩，但与学校申办“本科层次的职业教育试点”和“双高计划”建设发展的要求对比，还有较大的差距，亟须加以改进和完善。 </w:t>
      </w:r>
    </w:p>
    <w:p>
      <w:pPr>
        <w:spacing w:line="360" w:lineRule="auto"/>
        <w:ind w:firstLine="560" w:firstLineChars="20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（一）科研项目定位不清，科研内容有待丰富。重视人文社科类研究，科技类、技术应用创新较少。新进教师比重偏高，缺乏科研训练，单打独斗，没有形成合力。</w:t>
      </w:r>
    </w:p>
    <w:p>
      <w:pPr>
        <w:numPr>
          <w:ilvl w:val="0"/>
          <w:numId w:val="2"/>
        </w:numPr>
        <w:spacing w:line="360" w:lineRule="auto"/>
        <w:ind w:firstLine="560" w:firstLineChars="20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高水平研究成果较少，科研活力有待激发。多数教师教课任务繁重，没有意识到科学研究更有利于提高教学效果。不少教师仅仅为了评职称或者绩效而开展研究，科研意识、兴趣和动力不够强烈，缺乏科研热情。</w:t>
      </w:r>
    </w:p>
    <w:p>
      <w:pPr>
        <w:numPr>
          <w:ilvl w:val="0"/>
          <w:numId w:val="2"/>
        </w:numPr>
        <w:spacing w:line="360" w:lineRule="auto"/>
        <w:ind w:firstLine="560" w:firstLineChars="20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服务能力不强，科研质量有待提升。教师对技术应用开发、服务社会能力和区域影响力的研究项目重视不够。科研成果虽有数量但质量不高，造成科研特色、创新亮点很难呈现。</w:t>
      </w:r>
    </w:p>
    <w:p>
      <w:pPr>
        <w:numPr>
          <w:ilvl w:val="0"/>
          <w:numId w:val="2"/>
        </w:numPr>
        <w:spacing w:line="360" w:lineRule="auto"/>
        <w:ind w:firstLine="560" w:firstLineChars="200"/>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科研管理偏弱，科研水平有待提高。教师科研骨干数量偏少，科研管理制度缺乏系统性，科研项目孵化机制有待健全，现有的科研政策还没有充分激发二级学院、职能处室和教师的科研潜力。</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三、下一步工作打算</w:t>
      </w:r>
    </w:p>
    <w:p>
      <w:pPr>
        <w:wordWrap/>
        <w:spacing w:line="600" w:lineRule="exact"/>
        <w:ind w:firstLine="560" w:firstLineChars="200"/>
        <w:jc w:val="left"/>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一）对标《本科层次职业学校设置标准（试行）》、《本科层次职业教育专业设置管理办法（试行）》和《厦门南洋学院2024年工作计划》，保质保量完成国家、省、市等相关部门和学校每年下达的科研任务，为我校专业升本奠定基础。</w:t>
      </w:r>
    </w:p>
    <w:p>
      <w:pPr>
        <w:wordWrap/>
        <w:spacing w:line="600" w:lineRule="exact"/>
        <w:ind w:firstLine="560" w:firstLineChars="200"/>
        <w:jc w:val="left"/>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 xml:space="preserve"> （二）完善《科研资助与奖励管理办法》和《科研团队建设与管理办法》，制定《预防与处理学术不端行为办法》和《科研成果分类与认定办法》等规章制度。</w:t>
      </w:r>
    </w:p>
    <w:p>
      <w:pPr>
        <w:wordWrap/>
        <w:spacing w:line="600" w:lineRule="exact"/>
        <w:ind w:firstLine="560" w:firstLineChars="200"/>
        <w:jc w:val="left"/>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 xml:space="preserve">（三）遴选第二批校级科研团队、2024年校级课题，做好南洋大讲堂组织工作。 </w:t>
      </w:r>
    </w:p>
    <w:p>
      <w:pPr>
        <w:wordWrap/>
        <w:spacing w:line="600" w:lineRule="exact"/>
        <w:ind w:firstLine="560" w:firstLineChars="200"/>
        <w:jc w:val="left"/>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（四）协助机电/信息学院申请省级协同创新中心和市级重点实验室。</w:t>
      </w:r>
    </w:p>
    <w:p>
      <w:pPr>
        <w:wordWrap/>
        <w:spacing w:line="600" w:lineRule="exact"/>
        <w:ind w:firstLine="560" w:firstLineChars="200"/>
        <w:jc w:val="left"/>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（五）组织省级科研团队的申报工作</w:t>
      </w:r>
    </w:p>
    <w:p>
      <w:pPr>
        <w:wordWrap/>
        <w:spacing w:line="600" w:lineRule="exact"/>
        <w:ind w:firstLine="560" w:firstLineChars="200"/>
        <w:jc w:val="left"/>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（六）协助党政办做好2024年学校职称评审科研部分的审核和认定工作。</w:t>
      </w:r>
    </w:p>
    <w:p>
      <w:pPr>
        <w:wordWrap w:val="0"/>
        <w:spacing w:line="600" w:lineRule="exact"/>
        <w:ind w:firstLine="560" w:firstLineChars="200"/>
        <w:jc w:val="right"/>
        <w:rPr>
          <w:rFonts w:hint="default"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 xml:space="preserve">科研处    </w:t>
      </w:r>
    </w:p>
    <w:p>
      <w:pPr>
        <w:spacing w:line="600" w:lineRule="exact"/>
        <w:ind w:firstLine="560" w:firstLineChars="200"/>
        <w:jc w:val="right"/>
        <w:rPr>
          <w:b/>
          <w:bCs/>
          <w:sz w:val="28"/>
          <w:szCs w:val="28"/>
        </w:rPr>
      </w:pPr>
      <w:r>
        <w:rPr>
          <w:rFonts w:hint="eastAsia" w:ascii="仿宋_GB2312" w:hAnsi="仿宋" w:eastAsia="仿宋_GB2312" w:cstheme="minorBidi"/>
          <w:kern w:val="2"/>
          <w:sz w:val="28"/>
          <w:szCs w:val="28"/>
          <w:lang w:val="en-US" w:eastAsia="zh-CN" w:bidi="ar-SA"/>
        </w:rPr>
        <w:t>2024年1月20日</w:t>
      </w:r>
      <w:bookmarkStart w:id="3" w:name="_GoBack"/>
      <w:bookmarkEnd w:id="3"/>
      <w:r>
        <w:rPr>
          <w:rFonts w:hint="eastAsia" w:ascii="方正小标宋_GBK" w:hAnsi="方正小标宋_GBK" w:eastAsia="方正小标宋_GBK" w:cs="方正小标宋_GBK"/>
          <w:b/>
          <w:bCs/>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AEF78346-6C33-45F0-9780-5F0DD00872C1}"/>
  </w:font>
  <w:font w:name="仿宋_GB2312">
    <w:altName w:val="仿宋"/>
    <w:panose1 w:val="02010609030101010101"/>
    <w:charset w:val="86"/>
    <w:family w:val="modern"/>
    <w:pitch w:val="default"/>
    <w:sig w:usb0="00000000" w:usb1="00000000" w:usb2="00000000" w:usb3="00000000" w:csb0="00040000" w:csb1="00000000"/>
    <w:embedRegular r:id="rId2" w:fontKey="{0948A7D5-7389-4615-B38B-ABC52DC166E6}"/>
  </w:font>
  <w:font w:name="仿宋">
    <w:panose1 w:val="02010609060101010101"/>
    <w:charset w:val="86"/>
    <w:family w:val="modern"/>
    <w:pitch w:val="default"/>
    <w:sig w:usb0="800002BF" w:usb1="38CF7CFA" w:usb2="00000016" w:usb3="00000000" w:csb0="00040001" w:csb1="00000000"/>
    <w:embedRegular r:id="rId3" w:fontKey="{E99D3CCC-B3D0-4E7A-ABE0-12D2FEF84EAA}"/>
  </w:font>
  <w:font w:name="方正小标宋简体">
    <w:panose1 w:val="02000000000000000000"/>
    <w:charset w:val="86"/>
    <w:family w:val="script"/>
    <w:pitch w:val="default"/>
    <w:sig w:usb0="A00002BF" w:usb1="184F6CFA" w:usb2="00000012" w:usb3="00000000" w:csb0="00040001" w:csb1="00000000"/>
    <w:embedRegular r:id="rId4" w:fontKey="{A8AF8410-414C-4175-A9B9-CC3B433A4B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EAC5A"/>
    <w:multiLevelType w:val="singleLevel"/>
    <w:tmpl w:val="D83EAC5A"/>
    <w:lvl w:ilvl="0" w:tentative="0">
      <w:start w:val="2"/>
      <w:numFmt w:val="chineseCounting"/>
      <w:suff w:val="nothing"/>
      <w:lvlText w:val="（%1）"/>
      <w:lvlJc w:val="left"/>
      <w:rPr>
        <w:rFonts w:hint="eastAsia"/>
      </w:rPr>
    </w:lvl>
  </w:abstractNum>
  <w:abstractNum w:abstractNumId="1">
    <w:nsid w:val="671FADE8"/>
    <w:multiLevelType w:val="singleLevel"/>
    <w:tmpl w:val="671FAD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zODE2MWJiNzgzNzJiNTQ0NDhlNzdlOTMzOTg4NDEifQ=="/>
  </w:docVars>
  <w:rsids>
    <w:rsidRoot w:val="15837971"/>
    <w:rsid w:val="00051E3C"/>
    <w:rsid w:val="001073C9"/>
    <w:rsid w:val="00110240"/>
    <w:rsid w:val="00124013"/>
    <w:rsid w:val="0018654C"/>
    <w:rsid w:val="001B3FCA"/>
    <w:rsid w:val="001C7341"/>
    <w:rsid w:val="00210D76"/>
    <w:rsid w:val="002A3551"/>
    <w:rsid w:val="002C219F"/>
    <w:rsid w:val="003C5F94"/>
    <w:rsid w:val="0042774D"/>
    <w:rsid w:val="00492C5E"/>
    <w:rsid w:val="00584DBB"/>
    <w:rsid w:val="005D1718"/>
    <w:rsid w:val="0061237B"/>
    <w:rsid w:val="00652DCD"/>
    <w:rsid w:val="00720BF6"/>
    <w:rsid w:val="00782454"/>
    <w:rsid w:val="00796D50"/>
    <w:rsid w:val="00801AE2"/>
    <w:rsid w:val="00806E14"/>
    <w:rsid w:val="00817841"/>
    <w:rsid w:val="00830D28"/>
    <w:rsid w:val="009533E6"/>
    <w:rsid w:val="00AB0CDD"/>
    <w:rsid w:val="00AC617B"/>
    <w:rsid w:val="00B15C89"/>
    <w:rsid w:val="00B50AFD"/>
    <w:rsid w:val="00BD43E7"/>
    <w:rsid w:val="00C71EC2"/>
    <w:rsid w:val="00C74242"/>
    <w:rsid w:val="00D1079B"/>
    <w:rsid w:val="00D238E3"/>
    <w:rsid w:val="00D926DF"/>
    <w:rsid w:val="00E216C1"/>
    <w:rsid w:val="00EB6B9D"/>
    <w:rsid w:val="00ED7338"/>
    <w:rsid w:val="00F55BDC"/>
    <w:rsid w:val="00F75EE1"/>
    <w:rsid w:val="00FA1251"/>
    <w:rsid w:val="028C1CD8"/>
    <w:rsid w:val="0D9B0D09"/>
    <w:rsid w:val="0DD23B57"/>
    <w:rsid w:val="0EE92630"/>
    <w:rsid w:val="131F190C"/>
    <w:rsid w:val="15837971"/>
    <w:rsid w:val="1B912876"/>
    <w:rsid w:val="22151EDF"/>
    <w:rsid w:val="22DF0C58"/>
    <w:rsid w:val="26B1206C"/>
    <w:rsid w:val="27463E03"/>
    <w:rsid w:val="2CEB022C"/>
    <w:rsid w:val="32844DF0"/>
    <w:rsid w:val="36C6255B"/>
    <w:rsid w:val="3B751327"/>
    <w:rsid w:val="3C3209A0"/>
    <w:rsid w:val="43195E07"/>
    <w:rsid w:val="4E351E75"/>
    <w:rsid w:val="54AB1946"/>
    <w:rsid w:val="5535311F"/>
    <w:rsid w:val="5B9104C7"/>
    <w:rsid w:val="5E6F5F75"/>
    <w:rsid w:val="5FC829BC"/>
    <w:rsid w:val="64EF5B20"/>
    <w:rsid w:val="7F8F701E"/>
    <w:rsid w:val="7FCD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before="100" w:beforeAutospacing="1" w:after="100" w:afterAutospacing="1"/>
    </w:pPr>
    <w:rPr>
      <w:rFonts w:ascii="宋体" w:hAnsi="宋体"/>
      <w:color w:val="000000"/>
      <w:sz w:val="24"/>
    </w:rPr>
  </w:style>
  <w:style w:type="paragraph" w:styleId="3">
    <w:name w:val="Body Text First Indent"/>
    <w:basedOn w:val="2"/>
    <w:next w:val="4"/>
    <w:autoRedefine/>
    <w:qFormat/>
    <w:uiPriority w:val="0"/>
    <w:pPr>
      <w:ind w:firstLine="420" w:firstLineChars="100"/>
    </w:pPr>
    <w:rPr>
      <w:rFonts w:ascii="Calibri" w:hAnsi="Calibri"/>
      <w:sz w:val="20"/>
      <w:szCs w:val="20"/>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color w:val="000000"/>
      <w:kern w:val="0"/>
      <w:sz w:val="24"/>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character" w:styleId="11">
    <w:name w:val="page number"/>
    <w:basedOn w:val="10"/>
    <w:autoRedefine/>
    <w:qFormat/>
    <w:uiPriority w:val="0"/>
    <w:rPr>
      <w:rFonts w:ascii="Times New Roman" w:hAnsi="Times New Roman" w:eastAsia="宋体" w:cs="Times New Roman"/>
    </w:rPr>
  </w:style>
  <w:style w:type="paragraph" w:styleId="12">
    <w:name w:val="List Paragraph"/>
    <w:basedOn w:val="1"/>
    <w:autoRedefine/>
    <w:qFormat/>
    <w:uiPriority w:val="99"/>
    <w:pPr>
      <w:ind w:firstLine="420" w:firstLineChars="200"/>
    </w:pPr>
  </w:style>
  <w:style w:type="character" w:customStyle="1" w:styleId="13">
    <w:name w:val="页眉 字符"/>
    <w:basedOn w:val="10"/>
    <w:link w:val="7"/>
    <w:autoRedefine/>
    <w:qFormat/>
    <w:uiPriority w:val="0"/>
    <w:rPr>
      <w:kern w:val="2"/>
      <w:sz w:val="18"/>
      <w:szCs w:val="18"/>
    </w:rPr>
  </w:style>
  <w:style w:type="character" w:customStyle="1" w:styleId="14">
    <w:name w:val="批注框文本 字符"/>
    <w:basedOn w:val="10"/>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2633</Words>
  <Characters>2844</Characters>
  <Lines>20</Lines>
  <Paragraphs>5</Paragraphs>
  <TotalTime>10</TotalTime>
  <ScaleCrop>false</ScaleCrop>
  <LinksUpToDate>false</LinksUpToDate>
  <CharactersWithSpaces>2869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2022-12-07T01:21:00Z</dcterms:created>
  <dc:creator>titianw</dc:creator>
  <cp:lastModifiedBy>衠 徯</cp:lastModifiedBy>
  <dcterms:modified xsi:type="dcterms:W3CDTF">2024-01-20T03:28:44Z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998F61024BC148FA95A6136722091E4F_13</vt:lpwstr>
  </property>
</Properties>
</file>